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ind w:right="283"/>
        <w:jc w:val="center"/>
        <w:rPr>
          <w:rFonts w:ascii="Times New Roman" w:cs="Times New Roman" w:eastAsia="Times New Roman" w:hAnsi="Times New Roman"/>
          <w:b w:val="1"/>
          <w:color w:val="205968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-526247</wp:posOffset>
            </wp:positionH>
            <wp:positionV relativeFrom="paragraph">
              <wp:posOffset>-461296</wp:posOffset>
            </wp:positionV>
            <wp:extent cx="2385679" cy="802257"/>
            <wp:effectExtent b="0" l="0" r="0" t="0"/>
            <wp:wrapNone/>
            <wp:docPr descr="C:\Users\GorKVD\Desktop\Работа\Логотип\лого ГорКВД на белом.png" id="2" name="image1.png"/>
            <a:graphic>
              <a:graphicData uri="http://schemas.openxmlformats.org/drawingml/2006/picture">
                <pic:pic>
                  <pic:nvPicPr>
                    <pic:cNvPr descr="C:\Users\GorKVD\Desktop\Работа\Логотип\лого ГорКВД на белом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5679" cy="8022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ind w:right="283"/>
        <w:jc w:val="center"/>
        <w:rPr>
          <w:rFonts w:ascii="Times New Roman" w:cs="Times New Roman" w:eastAsia="Times New Roman" w:hAnsi="Times New Roman"/>
          <w:b w:val="1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ind w:right="283"/>
        <w:jc w:val="center"/>
        <w:rPr>
          <w:rFonts w:ascii="Times New Roman" w:cs="Times New Roman" w:eastAsia="Times New Roman" w:hAnsi="Times New Roman"/>
          <w:b w:val="1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right="566"/>
        <w:jc w:val="center"/>
        <w:rPr>
          <w:rFonts w:ascii="Times New Roman" w:cs="Times New Roman" w:eastAsia="Times New Roman" w:hAnsi="Times New Roman"/>
          <w:b w:val="1"/>
          <w:color w:val="20596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5968"/>
          <w:sz w:val="28"/>
          <w:szCs w:val="28"/>
          <w:rtl w:val="0"/>
        </w:rPr>
        <w:t xml:space="preserve">Перечень документов для госпитализации детского населения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5968"/>
          <w:sz w:val="28"/>
          <w:szCs w:val="28"/>
          <w:u w:val="single"/>
          <w:rtl w:val="0"/>
        </w:rPr>
        <w:t xml:space="preserve">круглосуточный стационар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5968"/>
          <w:sz w:val="28"/>
          <w:szCs w:val="28"/>
          <w:rtl w:val="0"/>
        </w:rPr>
        <w:t xml:space="preserve"> СПб ГБУЗ «ГорКВД»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9669780</wp:posOffset>
            </wp:positionH>
            <wp:positionV relativeFrom="paragraph">
              <wp:posOffset>5080</wp:posOffset>
            </wp:positionV>
            <wp:extent cx="2465070" cy="828040"/>
            <wp:effectExtent b="0" l="0" r="0" t="0"/>
            <wp:wrapNone/>
            <wp:docPr descr="C:\Users\GorKVD\Desktop\Работа\Логотип\лого ГорКВД на белом.png" id="1" name="image1.png"/>
            <a:graphic>
              <a:graphicData uri="http://schemas.openxmlformats.org/drawingml/2006/picture">
                <pic:pic>
                  <pic:nvPicPr>
                    <pic:cNvPr descr="C:\Users\GorKVD\Desktop\Работа\Логотип\лого ГорКВД на белом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828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0" w:lineRule="auto"/>
        <w:ind w:left="-284" w:hanging="283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Свидетельство о рождении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ребёнка или паспорт.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lineRule="auto"/>
        <w:ind w:left="-284" w:hanging="283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Действующий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полис ОМС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lineRule="auto"/>
        <w:ind w:left="-284" w:hanging="283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СНИЛС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(страховой номер индивидуального лицевого счёта в системе обязательного пенсионного страхования РФ).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lineRule="auto"/>
        <w:ind w:left="-284" w:hanging="283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Направление на госпитализацию от врача-дерматовенеролога районного КВД с указанием эпидемиологического номера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(в направлении должны быть указаны следующие сведения: эпидемиологический и аллергический анамнез, анамнез болезни и жизни, предшествующее лечение, результаты осмотра ребёнка и матери на педикулёз и чесотку).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lineRule="auto"/>
        <w:ind w:left="-284" w:hanging="283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Справка от педиатра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с указанием соматического статуса и сведений о прививках (срок действия — 3 суток).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lineRule="auto"/>
        <w:ind w:left="-284" w:hanging="283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Справка форма 063/у или прививочный сертификат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ребёнка (сведения о профилактических прививках и реакции Манту).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lineRule="auto"/>
        <w:ind w:left="-284" w:hanging="283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Справка из детской поликлиники по месту жительства об отсутствии контактов с инфекционными больными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в течение 21 дня до госпитализации (срок действия — 3 суток).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lineRule="auto"/>
        <w:ind w:left="-284" w:hanging="283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Справка из детского учреждения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(детский сад или школа) об отсутствии контактов с инфекционными больными в течение 21 дня до госпитализации (срок действия — 3 суток).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lineRule="auto"/>
        <w:ind w:left="-284" w:hanging="283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пациентов старше 15 лет —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результаты флюорографического исследования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(срок действия — 1 год).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ind w:left="-56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ind w:left="-567" w:firstLine="567"/>
        <w:jc w:val="center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5968"/>
          <w:sz w:val="24"/>
          <w:szCs w:val="24"/>
          <w:rtl w:val="0"/>
        </w:rPr>
        <w:t xml:space="preserve">ДЛЯ СОВМЕСТНОЙ ГОСПИТАЛИЗАЦИИ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5968"/>
          <w:sz w:val="24"/>
          <w:szCs w:val="24"/>
          <w:u w:val="single"/>
          <w:rtl w:val="0"/>
        </w:rPr>
        <w:t xml:space="preserve">на круглосуточный стационар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596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5968"/>
          <w:sz w:val="24"/>
          <w:szCs w:val="24"/>
          <w:u w:val="single"/>
          <w:rtl w:val="0"/>
        </w:rPr>
        <w:t xml:space="preserve">сопровождающему лицу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5968"/>
          <w:sz w:val="24"/>
          <w:szCs w:val="24"/>
          <w:rtl w:val="0"/>
        </w:rPr>
        <w:t xml:space="preserve"> необходимо иметь при себе: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280" w:lineRule="auto"/>
        <w:ind w:left="-284" w:hanging="283.00000000000006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Паспорт, полис ОМС, СНИЛС родителя или законного представителя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-284" w:hanging="283.00000000000006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флюорографического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исследования родителя или другого лица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осуществляющего уход за госпитализируемым ребёнком (срок действия - 1 год).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bottom w:color="000000" w:space="1" w:sz="4" w:val="single"/>
        </w:pBdr>
        <w:spacing w:after="280" w:before="0" w:lineRule="auto"/>
        <w:ind w:left="-284" w:hanging="283.00000000000006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Документально подтвержденные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сведения о наличии специфического иммунитета к кори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(сертификат о вакцинации или анализ крови на коревые антитела).</w:t>
      </w:r>
    </w:p>
    <w:p w:rsidR="00000000" w:rsidDel="00000000" w:rsidP="00000000" w:rsidRDefault="00000000" w:rsidRPr="00000000" w14:paraId="00000014">
      <w:pPr>
        <w:pBdr>
          <w:bottom w:color="000000" w:space="1" w:sz="4" w:val="single"/>
        </w:pBdr>
        <w:spacing w:after="280" w:before="280" w:lineRule="auto"/>
        <w:ind w:left="-56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395"/>
          <w:tab w:val="left" w:leader="none" w:pos="5387"/>
          <w:tab w:val="right" w:leader="none" w:pos="9072"/>
        </w:tabs>
        <w:spacing w:after="0" w:lineRule="auto"/>
        <w:jc w:val="right"/>
        <w:rPr>
          <w:color w:val="20596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5968"/>
          <w:rtl w:val="0"/>
        </w:rPr>
        <w:t xml:space="preserve">Приёмное отделение</w:t>
      </w:r>
      <w:r w:rsidDel="00000000" w:rsidR="00000000" w:rsidRPr="00000000">
        <w:rPr>
          <w:color w:val="205968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16">
      <w:pPr>
        <w:tabs>
          <w:tab w:val="left" w:leader="none" w:pos="4395"/>
          <w:tab w:val="left" w:leader="none" w:pos="5387"/>
          <w:tab w:val="right" w:leader="none" w:pos="9072"/>
        </w:tabs>
        <w:spacing w:after="0" w:lineRule="auto"/>
        <w:ind w:left="-567" w:firstLine="0"/>
        <w:jc w:val="right"/>
        <w:rPr>
          <w:color w:val="205968"/>
        </w:rPr>
      </w:pPr>
      <w:r w:rsidDel="00000000" w:rsidR="00000000" w:rsidRPr="00000000">
        <w:rPr>
          <w:color w:val="20596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5968"/>
          <w:rtl w:val="0"/>
        </w:rPr>
        <w:t xml:space="preserve">СПб ГБУЗ «Городской кожно-венерологический диспансер»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395"/>
          <w:tab w:val="left" w:leader="none" w:pos="5387"/>
          <w:tab w:val="right" w:leader="none" w:pos="9072"/>
        </w:tabs>
        <w:spacing w:after="0" w:lineRule="auto"/>
        <w:ind w:left="-567" w:firstLine="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395"/>
          <w:tab w:val="left" w:leader="none" w:pos="5387"/>
          <w:tab w:val="right" w:leader="none" w:pos="9072"/>
        </w:tabs>
        <w:spacing w:after="0" w:lineRule="auto"/>
        <w:ind w:left="-567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Адрес: 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Санкт-Петербург, наб. реки Волковки, д. 3, литер А (1 этаж)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-567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Режим работы: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понедельника по пятницу с 08.00 до 15.00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hanging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Телефон: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(812) 246-38-43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