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right="566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Перечень документов для госпитализации взрослого населения в стационарные отделения СПб ГБУЗ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ГКСЦД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9669780</wp:posOffset>
            </wp:positionH>
            <wp:positionV relativeFrom="paragraph">
              <wp:posOffset>5080</wp:posOffset>
            </wp:positionV>
            <wp:extent cx="2465070" cy="828040"/>
            <wp:effectExtent b="0" l="0" r="0" t="0"/>
            <wp:wrapNone/>
            <wp:docPr descr="C:\Users\GorKVD\Desktop\Работа\Логотип\лого ГорКВД на белом.png" id="1" name="image1.png"/>
            <a:graphic>
              <a:graphicData uri="http://schemas.openxmlformats.org/drawingml/2006/picture">
                <pic:pic>
                  <pic:nvPicPr>
                    <pic:cNvPr descr="C:\Users\GorKVD\Desktop\Работа\Логотип\лого ГорКВД на белом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828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line="276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Направление на госпитализацию от врача–дерматовенеролога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по форме № 057/у-04 с угловым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штампом, печатью направляющего учреждения и личной печатью врача.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-283.46456692913375" w:hanging="283.46456692913375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Паспорт РФ.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-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Действующий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полис ОМС.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-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СНИЛС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(страховой номер индивидуального лицевого счета в системе обязательного пенсионного страхования РФ);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-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Флюорография грудной клетки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(срок действия - 1 год). </w:t>
      </w:r>
    </w:p>
    <w:p w:rsidR="00000000" w:rsidDel="00000000" w:rsidP="00000000" w:rsidRDefault="00000000" w:rsidRPr="00000000" w14:paraId="0000000B">
      <w:pPr>
        <w:spacing w:line="276" w:lineRule="auto"/>
        <w:ind w:left="-283.46456692913375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Обращаем ваше внимание!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Пациентам, состоящим на учете в противотуберкулезном диспансере, необходимо заключение фтизиатра с результатом исследования  грудной клетки (рентген или ФЛГ), действительное в течение ½ года!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-283.46456692913375" w:hanging="283.4645669291337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 лабораторных исследований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(срок действия - 10 дней).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hd w:fill="ffffff" w:val="clear"/>
        <w:spacing w:after="109" w:before="0" w:line="240" w:lineRule="auto"/>
        <w:ind w:left="360" w:right="566" w:firstLine="0"/>
        <w:jc w:val="center"/>
        <w:rPr>
          <w:rFonts w:ascii="Times New Roman" w:cs="Times New Roman" w:eastAsia="Times New Roman" w:hAnsi="Times New Roman"/>
          <w:color w:val="20596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sz w:val="28"/>
          <w:szCs w:val="28"/>
          <w:rtl w:val="0"/>
        </w:rPr>
        <w:t xml:space="preserve">Перечень необходимых лабораторных исследований для плановой госпитализации взрослого населения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Клинический анализ крови.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Биохимический   анализ крови (АЛТ, АСТ, билирубин, сахар, общий белок, мочевина, креатинин).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Общий анализ мочи.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Микрореакция на сифилис + ИФА и суммарные АТ (срок действия - 10 дней).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Электрокардиография (ЭКГ) — пациентам старше 45 лет, а также пациентам с сопутствующей сердечно-сосудистой патологией.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Заключение смежных специалистов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(при наличии сопутствующей патологии). В заключении должен быть выставлен диагноз, исключена острая патология, назначено лечение. Необходимо предъявить выписки из различных стационаров, заключения врачей - специалистов и др.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bottom w:color="000000" w:space="1" w:sz="4" w:val="single"/>
        </w:pBdr>
        <w:shd w:fill="ffffff" w:val="clear"/>
        <w:spacing w:after="0" w:line="36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Беременные женщины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должны иметь на руках обменную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«Карту беременной».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shd w:fill="ffffff" w:val="clear"/>
        <w:spacing w:after="0" w:line="36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Приёмное отделение</w:t>
      </w: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1A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СПб ГБУЗ «Городской клинический специализированный центр дерматовенерологии»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Адрес: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Санкт-Петербург, наб. реки Волковки, д. 3, литер А (1 этаж)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567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Режим работы: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понедельника по пятницу с 08.00 до 15.00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hanging="567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(812) 246-38-43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-334112</wp:posOffset>
          </wp:positionV>
          <wp:extent cx="2795934" cy="654367"/>
          <wp:effectExtent b="0" l="0" r="0" t="0"/>
          <wp:wrapNone/>
          <wp:docPr descr="C:\Users\GorKVD\Desktop\Работа\Логотип\лого ГорКВД на белом.png" id="2" name="image2.png"/>
          <a:graphic>
            <a:graphicData uri="http://schemas.openxmlformats.org/drawingml/2006/picture">
              <pic:pic>
                <pic:nvPicPr>
                  <pic:cNvPr descr="C:\Users\GorKVD\Desktop\Работа\Логотип\лого ГорКВД на белом.png" id="0" name="image2.png"/>
                  <pic:cNvPicPr preferRelativeResize="0"/>
                </pic:nvPicPr>
                <pic:blipFill>
                  <a:blip r:embed="rId1"/>
                  <a:srcRect b="37160" l="5840" r="0" t="38373"/>
                  <a:stretch>
                    <a:fillRect/>
                  </a:stretch>
                </pic:blipFill>
                <pic:spPr>
                  <a:xfrm>
                    <a:off x="0" y="0"/>
                    <a:ext cx="2795934" cy="6543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