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right="283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right="283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right="283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right="566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  <w:rtl w:val="0"/>
        </w:rPr>
        <w:t xml:space="preserve">Перечень документов для госпитализации детского населения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  <w:u w:val="single"/>
          <w:rtl w:val="0"/>
        </w:rPr>
        <w:t xml:space="preserve">дневной стационар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  <w:rtl w:val="0"/>
        </w:rPr>
        <w:t xml:space="preserve"> СПб ГБУЗ «ГКСЦД»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9669780</wp:posOffset>
            </wp:positionH>
            <wp:positionV relativeFrom="paragraph">
              <wp:posOffset>5080</wp:posOffset>
            </wp:positionV>
            <wp:extent cx="2465070" cy="828040"/>
            <wp:effectExtent b="0" l="0" r="0" t="0"/>
            <wp:wrapNone/>
            <wp:docPr descr="C:\Users\GorKVD\Desktop\Работа\Логотип\лого ГорКВД на белом.png" id="1" name="image1.png"/>
            <a:graphic>
              <a:graphicData uri="http://schemas.openxmlformats.org/drawingml/2006/picture">
                <pic:pic>
                  <pic:nvPicPr>
                    <pic:cNvPr descr="C:\Users\GorKVD\Desktop\Работа\Логотип\лого ГорКВД на белом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828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Свидетельство о рождении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ребёнка или паспорт.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Действующий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полис ОМС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СНИЛС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(страховой номер индивидуального лицевого счёта в системе обязательного пенсионного страхования РФ).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Направление на госпитализацию от врача-дерматовенеролога районного КВД с указанием эпидемиологического номера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(в направлении должны быть указаны следующие сведения: эпидемиологический и аллергический анамнез, анамнез болезни и жизни, предшествующее лечение, результаты осмотра ребёнка и матери на педикулёз и чесотку).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Справка от педиатра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с указанием соматического статуса и сведений о прививках (срок действия — 3 суток).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Справка форма 063/у или прививочный сертификат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ребёнка (сведения о профилактических прививках и реакции Манту).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Справка из детской поликлиники по месту жительства об отсутствии контактов с инфекционными больными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в течение 21 дня до госпитализации (срок действия — 3 суток).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Справка из детского учреждения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(детский сад или школа) об отсутствии контактов с инфекционными больными в течение 21 дня до госпитализации (срок действия — 3 суток).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пациентов старше 15 лет —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результаты флюорографического исследования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(срок действия — 1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hd w:fill="ffffff" w:val="clear"/>
        <w:spacing w:after="0" w:line="36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b w:val="1"/>
          <w:bCs w:val="1"/>
          <w:color w:val="2059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b w:val="1"/>
          <w:bCs w:val="1"/>
          <w:color w:val="2059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color w:val="20596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rtl w:val="0"/>
        </w:rPr>
        <w:t xml:space="preserve">Приёмное отделение</w:t>
      </w:r>
      <w:r w:rsidDel="00000000" w:rsidR="00000000" w:rsidRPr="00000000">
        <w:rPr>
          <w:rFonts w:ascii="Times New Roman" w:cs="Times New Roman" w:eastAsia="Times New Roman" w:hAnsi="Times New Roman"/>
          <w:color w:val="205968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18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color w:val="20596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596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rtl w:val="0"/>
        </w:rPr>
        <w:t xml:space="preserve">СПб ГБУЗ «Городской клинический специализированный центр дерматовенерологии»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Адрес: 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Санкт-Петербург, наб. реки Волковки, д. 3, литер А (1 этаж)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-567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Режим работы: 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понедельника по пятницу с 08.00 до 15.00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hanging="567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Телефон: 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(812) 246-38-43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-523874</wp:posOffset>
          </wp:positionH>
          <wp:positionV relativeFrom="paragraph">
            <wp:posOffset>-178116</wp:posOffset>
          </wp:positionV>
          <wp:extent cx="3251758" cy="701992"/>
          <wp:effectExtent b="0" l="0" r="0" t="0"/>
          <wp:wrapNone/>
          <wp:docPr descr="C:\Users\GorKVD\Desktop\Работа\Логотип\лого ГорКВД на белом.png" id="2" name="image2.png"/>
          <a:graphic>
            <a:graphicData uri="http://schemas.openxmlformats.org/drawingml/2006/picture">
              <pic:pic>
                <pic:nvPicPr>
                  <pic:cNvPr descr="C:\Users\GorKVD\Desktop\Работа\Логотип\лого ГорКВД на белом.png" id="0" name="image2.png"/>
                  <pic:cNvPicPr preferRelativeResize="0"/>
                </pic:nvPicPr>
                <pic:blipFill>
                  <a:blip r:embed="rId1"/>
                  <a:srcRect b="38050" l="0" r="0" t="37836"/>
                  <a:stretch>
                    <a:fillRect/>
                  </a:stretch>
                </pic:blipFill>
                <pic:spPr>
                  <a:xfrm>
                    <a:off x="0" y="0"/>
                    <a:ext cx="3251758" cy="7019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